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left"/>
        <w:outlineLvl w:val="0"/>
        <w:rPr>
          <w:rFonts w:hint="eastAsia" w:ascii="宋体" w:hAnsi="宋体" w:eastAsia="宋体" w:cs="宋体"/>
          <w:kern w:val="36"/>
          <w:sz w:val="32"/>
          <w:szCs w:val="32"/>
          <w:lang w:val="en-US" w:eastAsia="zh-CN"/>
        </w:rPr>
      </w:pPr>
      <w:r>
        <w:rPr>
          <w:rFonts w:hint="eastAsia" w:ascii="宋体" w:hAnsi="宋体" w:eastAsia="宋体" w:cs="宋体"/>
          <w:kern w:val="36"/>
          <w:sz w:val="32"/>
          <w:szCs w:val="32"/>
          <w:lang w:eastAsia="zh-CN"/>
        </w:rPr>
        <w:t>附件</w:t>
      </w:r>
      <w:r>
        <w:rPr>
          <w:rFonts w:hint="eastAsia" w:ascii="宋体" w:hAnsi="宋体" w:eastAsia="宋体" w:cs="宋体"/>
          <w:kern w:val="36"/>
          <w:sz w:val="32"/>
          <w:szCs w:val="32"/>
          <w:lang w:val="en-US" w:eastAsia="zh-CN"/>
        </w:rPr>
        <w:t>2</w:t>
      </w:r>
    </w:p>
    <w:p>
      <w:pPr>
        <w:widowControl/>
        <w:shd w:val="clear" w:color="auto" w:fill="FFFFFF"/>
        <w:spacing w:line="360" w:lineRule="atLeast"/>
        <w:jc w:val="center"/>
        <w:outlineLvl w:val="0"/>
        <w:rPr>
          <w:rFonts w:hint="eastAsia" w:ascii="黑体" w:hAnsi="黑体" w:eastAsia="黑体" w:cs="黑体"/>
          <w:b/>
          <w:bCs/>
          <w:kern w:val="36"/>
          <w:sz w:val="32"/>
          <w:szCs w:val="32"/>
        </w:rPr>
      </w:pPr>
      <w:r>
        <w:rPr>
          <w:rFonts w:hint="eastAsia" w:ascii="黑体" w:hAnsi="黑体" w:eastAsia="黑体" w:cs="黑体"/>
          <w:b/>
          <w:bCs/>
          <w:kern w:val="36"/>
          <w:sz w:val="32"/>
          <w:szCs w:val="32"/>
        </w:rPr>
        <w:t>上海政法学院关于加强研究生教育</w:t>
      </w:r>
    </w:p>
    <w:p>
      <w:pPr>
        <w:widowControl/>
        <w:shd w:val="clear" w:color="auto" w:fill="FFFFFF"/>
        <w:spacing w:line="360" w:lineRule="atLeast"/>
        <w:jc w:val="center"/>
        <w:outlineLvl w:val="0"/>
        <w:rPr>
          <w:rFonts w:hint="eastAsia" w:ascii="黑体" w:hAnsi="黑体" w:eastAsia="黑体" w:cs="黑体"/>
          <w:b/>
          <w:bCs/>
          <w:kern w:val="36"/>
          <w:sz w:val="32"/>
          <w:szCs w:val="32"/>
        </w:rPr>
      </w:pPr>
      <w:r>
        <w:rPr>
          <w:rFonts w:hint="eastAsia" w:ascii="黑体" w:hAnsi="黑体" w:eastAsia="黑体" w:cs="黑体"/>
          <w:b/>
          <w:bCs/>
          <w:kern w:val="36"/>
          <w:sz w:val="32"/>
          <w:szCs w:val="32"/>
        </w:rPr>
        <w:t>质量保障体系建设的实施意见</w:t>
      </w:r>
    </w:p>
    <w:p>
      <w:pPr>
        <w:widowControl/>
        <w:pBdr>
          <w:bottom w:val="single" w:color="FF0000" w:sz="12" w:space="1"/>
        </w:pBdr>
        <w:shd w:val="clear" w:color="auto" w:fill="FFFFFF"/>
        <w:spacing w:line="555" w:lineRule="exact"/>
        <w:jc w:val="center"/>
        <w:rPr>
          <w:rFonts w:ascii="宋体" w:hAnsi="宋体" w:eastAsia="宋体" w:cs="宋体"/>
          <w:kern w:val="0"/>
          <w:sz w:val="24"/>
          <w:szCs w:val="24"/>
        </w:rPr>
      </w:pPr>
      <w:r>
        <w:rPr>
          <w:rFonts w:hint="eastAsia" w:ascii="宋体" w:hAnsi="宋体" w:eastAsia="宋体" w:cs="宋体"/>
          <w:kern w:val="0"/>
          <w:sz w:val="24"/>
          <w:szCs w:val="24"/>
        </w:rPr>
        <w:t>沪政院研〔2021〕228号</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为深入贯彻落实习近平总书记关于教育的重要论述以及党的十九大和十九届二中、三中、四中全会精神，全面贯彻落实</w:t>
      </w:r>
      <w:bookmarkStart w:id="0" w:name="_GoBack"/>
      <w:bookmarkEnd w:id="0"/>
      <w:r>
        <w:rPr>
          <w:rFonts w:hint="eastAsia" w:ascii="宋体" w:hAnsi="宋体" w:eastAsia="宋体" w:cs="宋体"/>
          <w:kern w:val="0"/>
          <w:sz w:val="24"/>
          <w:szCs w:val="24"/>
          <w:shd w:val="clear" w:color="auto" w:fill="FFFFFF"/>
        </w:rPr>
        <w:t>全国教育大会、全国研究生教育会议和上海市研究生教育会议精神，持续提升我校研究生培养与学位授予质量，不断提升研究生教育服务学校发展的能力水平，根据《国务院学位委员会 教育部 关于进一步严格规范学位与研究生教育质量管理的若干意见》（学位〔2020〕19号）、《教育部 国家发展改革委 财政部 关于加快新时代研究生教育改革发展的意见》（教研〔2020〕9号）、《上海市教委 市发展改革委 市财政局 关于加快新时代上海市研究生教育高质量发展的实施意见》（沪教委高〔2021〕42号）等文件要求，结合学校实际，制定本意见。</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一、指导思想</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以习近平新时代中国特色社会主义思想为指导，深入贯彻落实党的十九大和十九届二中、三中、四中全会精神，全面贯彻落实全国教育大会、全国研究生教育会议和上海市研究生教育会议精神，落实立德树人根本任务，坚持把思想政治工作贯穿研究生教育教学全过程。紧紧围绕学校重点工作，紧密对接校院两级管理制度改革。严格制度、强化落实，营造优良学风、风清气正的育人环境和求真务实的治学氛围，持续提升研究生培养与学位授予质量。</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二、工作原则</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（一）坚持政治引领原则</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坚决贯彻和加强党对学位与研究生教育工作的领导，坚持正确政治方向，树牢“四个意识”，坚定“四个自信”，坚决做到“两个维护”，以全面从严治党引领研究生教育质量保障体系的建立与落实。坚持育人为本，以研究生德智体美劳全面发展为中心，把立德树人成效作为检验研究生教育质量的根本标准。</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（二）坚持质量生命线原则</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研究生教育质量事关教育公平、学术诚信，是培养高素质高端人才的生命线。研究生学位授予质量评价攸关学位授权点，是学校提升办学层次、实现跨越式发展的生命线。研究生教育质量评价关乎学校声誉、社会口碑，是学校实现可持续发展的生命线。</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（三）坚持过程保障原则</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充分发挥学校、学院、学位点多方面积极性，充分发挥导师与研究生教学相长能动性，注重研究生培养与学位授予质量的过程保障，将研究生教育质量评价融入培养与学位授予全过程，将从严要求贯穿研究生教育全过程。</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三、加强研究生培养质量保障体系建设</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（一）加强校级研究生培养质量保障体系建设</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1.加强立德树人机制保障</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立德树人成效是检验研究生培养与学位授予质量的根本标准。落实立德树人根本任务，全面推进课程思政建设，使各类课程与思政课程同向同行，形成协同效应，构建全员全程全方位育人大格局。</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明确导师是培养质量第一责任人，要把培养人放到第一位，既要做学术训导人，指导和激发研究生的科学精神和原始创新能力，更要做人生领路人，言传身教引导研究生树立正确的世界观人生观价值观，不断发挥在研究生学术道德和学术规范教育中的引领、示范作用。</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2.加强课程管理保障制度建设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严格执行课程教学管理有关规定，已确定开设的研究生课程，必须按计划组织完成教学工作，不得违规更换任课教师、变更教学和考核安排、减少学时和教学内容。在现有规定基础上，实行选课与排课相结合制度，保障教学认真负责的教师充实教学一线。除培养方案允许随堂考查并报备的以外，其他研究生课程考核均纳入学校考试周总体安排，与本科生考试安排同步进行。对采取论文、报告、文献综述等形式的课程考核材料开展每次不低于20%覆盖面的论文复制比、学术规范抽检。</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3.加强课程内容保障制度建设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鼓励任课教师或导师引导研究生阅读足量文献，进行较充分的实践调研，并将其纳入中期考核制度。加强研究生课程良性互动，原则上研究生高质量课堂陈述、小组讨论等互动内容不少于教学时间的20%、不多于50%。</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4.加强鼓励研究生潜心治学机制建设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鼓励研究生参与国际国内高水平学术会议、专题交流、实践赛事等活动，对提交论文或有主题发言的，或进行更高学位深造的，参照学校学术活动激励机制予以奖助。对发表高水平学术或专业成果的研究生，凭发表原件或证明，参照学校二级管理办法有关规定予以认定与奖励。有关支出由学校有关研究生工作相关经费列支。</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（二）加强二级学院研究生培养质量保障体系建设</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1.加强研究生课程教研机制建设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加强研究生课程所属教研室或教研团队建设，探索建立研究生课程考核开放题库、研究生在线示范课程库，将教研室听课、导师组听课、学院领导听课等落到实处。加强对新开课程、新授课教师的质量管理，原则上均应通过试讲考察。</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2.加强导师指导机制建设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加强导师对研究生的日常指导与申请学位论文指导机制建设，推进导师对研究生日常指导与申请学位论文指导的量化管理机制。研究生培养有关二级学院应当按照不低于附件1有关要素要求，建立本学院的导师指导规范量化要求。</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加强导师组机制建设。导师组应当加强日常培养与关键环节质量监控的实质化建设，加强对学位点必修课程考核、研究生发表成果的质量监控，导师组应当定期开展学位点必修课程考核抽检，加强对中期考核、开题、预答辩、答辩的组织管理，加强对导师聘任、导师指导的规范化管理。</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加强导师指导研究生的聘期管理机制。具有导师资格的教师，在一个聘期内指导所在学位点研究生少于2人的，除有合理原因外，在下一个聘期内原则上不再聘任为该学位点导师。</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3.健全研究生教学监督和评价机制</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加快建立以教师自评为主、教学督导和研究生评教为辅的研究生教学评价机制，对研究生教学全过程和教学效果进行监督和评价。</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四、加强研究生学位授予质量保障体系建设</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（一）加强校级研究生学位授予质量保障体系建设</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1.加强研究生学位论文学术不端行为检测校级统筹管理</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作为判断学术不端行为的辅助工具，进一步利用“中国知网”等检测系统加强对学位论文的复制比检测，学位评定分委员会和导师可参考系统检测报告作出判断。导师应对学位论文的学术规范性进行严格把关，并督促指导研究生对学位论文中存在学术不规范的部分进行修改。</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我校所有申请学位论文答辩的研究生均须在当年规定的时间内接受学位论文学术不端行为检测，检测结果达标者，方可进行论文送盲审与答辩。检测结果不达标的学位论文，不得进入送审与答辩程序。学位论文检测工作由各学院组织汇总后，由研究生处统一使用“学位论文学术不端行为检测系统”对学位论文进行检测，原则上每篇学位论文只能检测一次。</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检测结果的认定与处理：</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1）“去除本人已发表文献复制比”≤20%的，由导师结合核心章节文字复制比等相关情况，负责审查并认定学位论文内容中是否存在学术不端行为。根据认定结果，导师可作出直接送审、修改后送审的具体处理意见。</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2）“去除本人已发表文献复制比”＞20%的，原则上不予送审。但导师在认真阅读论文及分析检测报告后，确认学位论文不存在学术不端及过度引用问题，须在导师指导下进行修改和复检，修改时间不少于15天。复检学位论文作者须填写《上海政法学院研究生学位论文复检申请表》，经导师审查并签署同意复检意见后，由学院在规定时间内将学位论文电子版交研究生处进行复检。复检结果达标的学位论文，方可进入送审和答辩程序。复检结果不达标的学位论文，应当延期3个月后提交后续学位有关流程。3次检测仍不能达标的，将不再送审。</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若发现学位论文存在严重学术不端行为的情况，学院与学校将根据《上海政法学院研究生学术道德建设实施细则》等相关规定予以处理。</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研究生或导师若对检测结果有异议，应提出书面申请，填写《上海政法学院研究生学位论文检测结果申诉表》，交所在学院，由所在学院学位评定分委员会组织3-5名专家进行鉴定（鉴定专家不能为申请人亲属或导师），给出最终认定结果，并报研究生处备案。</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凡弄虚作假故意规避学位论文不端行为检测的学位申请者，一经发现与核实，学校将按相关规定给予严肃处理，情节严重者将取消其学位申请资格或注销已取得的学位。</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2.继续实行全员校外盲审制度</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继续严格执行《上海政法学院研究生学位论文盲审实施细则》（沪政院研〔2019〕30号），对指导的研究生有1人次及以上论文盲审不通过的导师，视情况减少指导名额或停止指导资格。</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3.建立硕士生招生指标动态调整机制</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对于在上级组织的研究生学位论文抽检中被认定为“不合格”的学位论文，在抽检结果返回学校后，学校将视情况以不低于1:1的比例核减该学位授权点下一年度的硕士研究生招生指标，并暂停指导该论文的导师两年指导硕士研究生资格。两年后该导师可以提交恢复资格申请，由学校依照有关规定审议。</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在校内外其他抽检抽查中，认定导师所指导的论文出现严重质量问题或学术失范的，视情况减少该导师的指导名额乃至停止招生资格，同时视情况减少所在学位授权点的下年度招生指标。</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在学校近两年就业率统计排序连续位于倒数第1-3名的，视情况减少所在学位授权点的下年度招生指标。</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学院与学位授权点应当统筹研究生与导师的生师比，确保导师有足够时间精力指导研究生。学院与学位授权点应当统筹将研究生与每个导师的生师比控制在3:1以内，指导生师比超过5:1的情形较为突出的学位授权点，视情况减少所在学位授权点的下年度招生指标。</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当年研究生招生拟录取人员中，一志愿报考人数不满80%的，视情况减少所在学位授权点或培养方向的下年度招生指标。</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4.加强学校学位评定委员会建设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充分发挥学校学位评定委员会在学位授予审议、学术不端处置等方面的重要作用，继续提高权威性和执行力。学校学位评定委员会设立办公室，挂靠研究生处学位与培养科，作为学校学位评定委员会的日常办事机构。</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5.加强答辩信息公开制度</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根据《学位〔2020〕19号》文件要求，除依法律法规需要保密外，学位论文均要严格实行公开答辩，妥善安排旁听。答辩人员、时间、地点、程序安排及答辩委员会组成等信息需要在有关学位工作网站向社会公开，接受社会监督。</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6.建立导师指导研究生名额分配动态调整机制</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一个导师原则上只能在一个二级学科或专硕方向下指导研究生。如学术能力较强、指导效果较好，能够在同一个一级学科下指导另一个二级学科，或指导同一个专硕另一个方向，符合《上海政法学院硕士研究生导师管理实施办法》相关资格条件的，可以同时申报，但最多只能同时在2个二级学科或方向担任导师，且不能跨一级学科或不同的专硕授权点。</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导师指导研究生的名额，原则上应当按照《上海政法学院硕士研究生导师管理实施办法》第8条执行。有关学位授权点与二级学院应当加强对导师指导研究生的名额统筹，在导师与研究生双向选择的基础上，在有指导意愿和能力的导师与研究生之间应当形成不低于1:1的动态均衡。在导师指导研究生就业率近3年超过学校平均水平的基础上，导师目前有国家级项目在研的或近3年年均发表C1以上成果一篇以上的，或近3年指导研究生生均发表C3以上成果一篇以上的，可适当增加指导名额，但当年指导总名额总计一般不超过5人。</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（二）加强二级学院研究生学位授予质量保障体系建设</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1.加强开题环节建设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开题为申请学位的必备环节，加强开题环节的实质化建设。开题评议专家人数为3人或5人的高级职称专家，其中应有不少于三分之一的成员为校外专家。各学院与学位点导师组协同组织开题，并安排具体开题日程。开题环节流程实行文字材料记录与研究生信息系统录入并行监控。</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2.加强预答辩环节建设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加强预答辩环节的实质化建设，预答辩为申请学位的必备环节。预答辩委员会专家人数为3人或5人的高级职称专家，其中应有不少于三分之二的成员为校外专家。各学院与学位点导师组协同组织预答辩委员会，并安排具体预答辩日程。预答辩环节流程实行文字材料记录与研究生信息系统录入并行监控。</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3.加强校外盲审环节建设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在提交学位论文答辩前，应当按照《上海政法学院研究生学位论文盲审实施细则》（沪政院研〔2019〕30号）进行盲审，未提交盲审或盲审未通过的，不得进入研究生学位申请后续流程。学校将根据研究生培养与学位授予质量建设实际情况，适时调整进行校外盲审的具体方式。</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4.加强答辩环节建设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加强学位论文答辩委员会实质化建设，从本意见实施之日起，答辩委员会成员应全部为校外专家，由3人或5人的高级职称专家组成，校外专家应来自2个以上不同的单位，且正高专家不少于2人。各学院与学位点导师组协同组织答辩委员会，并安排具体答辩日程。答辩环节流程实行文字材料记录与研究生信息系统录入并行监控。</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提交答辩委员会审议的学位论文，应当符合“双盲”要求，按照《上海政法学院研究生学位论文盲审实施细则》（沪政院研〔2019〕30号）执行，隐去作者、导师、发表成果等个人信息。</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强化专业学位研究生学位论文应用导向。可将研究报告、作品设计、案例分析等作为专业学位论文的主要内容，以论文形式表现。专业学位论文答辩委员会成员中，应有不少于三分之二的委员属于具有实务经验的高级职称(或相当水平)的校外专家。</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5.实行研究生毕业与学位授予分离制度</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申请学位论文通过盲审后，应当依照学校有关规定申请进入学位论文答辩流程。学位论文答辩委员会应当闭会进行评议、投票表决，对是否建议授予学位的同意票不少于委员人数的三分之二方为通过，建议授予学位的表决结果视为同意毕业论文通过。答辩委员会评议认为未达到硕士学位授予标准，但达到毕业论文标准的，可经委员人数的三分之二表决通过。表决结果由答辩委员会主席宣布，并记入答辩决议材料。未通过研究生学位论文答辩的，可根据答辩委员会的意见修改论文，在不超过规定的最长学习年限内，3个月后可以再次申请答辩；第二次答辩还未通过的，可再次修改论文，3个月后申请第三次答辩；第三次答辩仍未通过的，取消学位授予申请资格。未满足学位授予条件先予毕业的研究生，毕业后3年内可重新申请一次论文答辩，如仍未达到学位授予标准，取消其学位授予申请资格，同时不再具有重新申请资格。</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申请学位论文未通过盲审的，该研究生可以同一论文申请毕业答辩，同时递交毕业所需其他学业资料等由所在学院学位评定分委员会进行审议。审议后认为达到研究生毕业要求的，将有关审议材料提交研究生管理部门，报学校教学工作委员会或学校授权的专门会议复审。复审通过的，办理毕业手续；复审后认为未达到研究生毕业要求的，可要求其修改论文，在不超过规定的最长学习年限内，3个月后再次申请毕业答辩。第二次毕业答辩还未通过的，取消毕业申请资格。</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提交所在学院学位评定分委员会审议的申请毕业论文，应当符合“双盲”要求，与提交校外盲审的论文应当一致。</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6.加强二级学院学位评定分委员会建设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二级学院应当进一步细分压实学位评定分委员会责任，要对申请人培养计划执行情况、开题、预答辩、论文盲审、答辩组织及其结果、毕业等进行认真审议，承担学术监督和学位评定责任。</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五、实施保障</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研究生处牵头制定有关质量过程监督规章，全面梳理并完善研究生课程思政、培养方案、课堂教学、实践教学、导师管理、学术规范、学位授予等管理规范，制定或调整优化研究生培养与学位授予质量保障体系督查要素清单，牵头建立研究生培养与学位授予质量工作定期交流与通报制度。</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教学质量督查与评估办公室牵头落实本意见涉及的各项质量督查措施，对照本意见附件1、2以及学校有关规定开展有关督查工作。组建校级研究生教育督导队伍，组织开展研究生教学秩序检查、听课、看课、抽查培养材料、抽检学位授予过程资料、校内评估等工作，组织开展研究生培养与学位授予的关键环节或重要节点的阶段督查，对二级学院开展研究生教育质量保障工作予以督查指导，对落实本意见以及其他有关研究生工作规章的情况进行督查指导，牵头建立督查指导情况定期通报制度。</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研究生教育有关学院对研究生培养与学位授予质量担负主建工作，研究生教育其他有关部门在其职责范围内共同参与研究生教育质量保障工作。</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对研究生培养与学位授予质量保障工作中出现违规问题较多、问题较为严重的学位授权点或有关学院，视情况对其予以减少研究生招生指标、降低师均指导名额、调整培养归属、减少培养与学位工作经费或专项支持等处理。经教学质量督查与评估办公室与研究生处汇总，报学校研究生招生或学位点建设与评估领导机构或学校授权的专门会议予以审议决定。</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加强培养与学位授予环节质量督查经费保障，落实监督机制经费预算保障。校内教师参与听课、开题、预答辩、答辩以及其他培养质量保障等工作的费用依照学校两级管理有关规定执行。校级研究生教育督导劳务费标准为：副高级专技或相当人员500元/人/天，正高级专技或相当人员700元/人/天，另交通与伙食补贴为100元/天。原则上每位督导每学期开展相关工作不超过20天，确有必要增加工作内容的，采取按次报备方式开展。其工作量由教学质量督查与评估办公室每月汇总后，交研究生处复核支出，相关费用由研究生工作年度预算或其他专项经费统筹解决。参与培养或学位授予过程相关工作的校外专家劳务费标准按照学校有关规定执行，其支出纳入学校与各学院研究生培养经费或有关专项经费统筹解决。</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六、其他</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rPr>
        <w:t>本意见适用于国家统招录取并接受学历教育的研究生，以及在我校就读的留学研究生。</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本意见自2021年1月1日起实行，以往规定与本意见不一致的，以本意见为准。</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本意见的具体适用由研究生处、教学质量督查与评估办公室在各自职能范围内解释。</w:t>
      </w:r>
    </w:p>
    <w:p>
      <w:pPr>
        <w:widowControl/>
        <w:shd w:val="clear" w:color="auto" w:fill="FFFFFF"/>
        <w:spacing w:line="420" w:lineRule="atLeast"/>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 </w:t>
      </w:r>
    </w:p>
    <w:p>
      <w:pPr>
        <w:widowControl/>
        <w:shd w:val="clear" w:color="auto" w:fill="FFFFFF"/>
        <w:spacing w:line="420" w:lineRule="atLeast"/>
        <w:jc w:val="center"/>
        <w:rPr>
          <w:rFonts w:ascii="宋体" w:hAnsi="宋体" w:eastAsia="宋体" w:cs="宋体"/>
          <w:kern w:val="0"/>
          <w:sz w:val="24"/>
          <w:szCs w:val="24"/>
        </w:rPr>
      </w:pPr>
      <w:r>
        <w:rPr>
          <w:rFonts w:hint="eastAsia" w:ascii="方正小标宋简体" w:hAnsi="宋体" w:eastAsia="方正小标宋简体" w:cs="宋体"/>
          <w:kern w:val="0"/>
          <w:sz w:val="32"/>
          <w:szCs w:val="32"/>
          <w:shd w:val="clear" w:color="auto" w:fill="FFFFFF"/>
        </w:rPr>
        <w:br w:type="page"/>
      </w:r>
      <w:r>
        <w:rPr>
          <w:rFonts w:hint="eastAsia" w:ascii="宋体" w:hAnsi="宋体" w:eastAsia="宋体" w:cs="宋体"/>
          <w:b/>
          <w:bCs/>
          <w:kern w:val="0"/>
          <w:sz w:val="24"/>
          <w:szCs w:val="24"/>
        </w:rPr>
        <w:t>附件1：研究生培养质量保障体系督查要素</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一、课堂教学</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1.课程所属学院的教研室听课、导师组听课、学院领导听课覆盖率每学期不低于20%，督导听课覆盖面不低于30%。听课次数与时长符合学校规定，听课或检查记录符合规范。</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2.任课教师讲授或主导内容（时间）不得少于全部教学内容（时间）的80%。</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3.除培养方案中明确为讲座课程或实务课程外，其余课程中校外专家讲授课时原则上应不超过总课时的1/3。</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4.授课秩序符合规定，授课形式与内容符合教学规范。</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二、实践教学</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1.各专业实践教学要求与标准以本专业培养方案要求为准，主要审核学生实习情况，以课程形式进行的实践教学环节纳入课堂教学的督查之中。</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2.对于学生实践教学情况的审查，导师初审、学院复审以及研究生处复核覆盖率为100%，督导抽查覆盖率建议学术硕士不低于10%、专业硕士不低于30%。</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3.学术硕士实习情况主要审核点如下，任一条件不符则认定实习无效、不给予学分：</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(1)实践证明的真实性（是否为原件、公章与单位是否一致等）；</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(2)实践单位及内容与本专业的相关性；</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(3)实践周期是否符合要求，如培养方案中无时长及工作日要求，则默认每个月应不少于15个工作日。</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4.专业硕士实习情况主要审核点如下，任一条件不符则认定实习无效、不给予学分：</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(1)实践证明的真实性（是否为原件、公章与单位是否一致等）；</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(2)实践单位及内容与本专业的相关性；</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(3)实践周期是否符合要求，如培养方案中无时长及工作日要求，则默认每个月应不少于15个工作日；</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(4)实践报告与时间内容的一致性，实践报告与实践内容应具备极高的一致性，实践报告不得抄袭。</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三、课程考核</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1.公共必修课闭卷笔试覆盖率为100%。</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2.专业必修课笔试覆盖率为100%，闭卷笔试覆盖率不低于50%。</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3.根据《上海政法学院研究生课程考核管理细则（修订稿）》（沪政院研〔2020〕218号）规定，对符合规定要求的课程过高成绩有关材料进行督查，对课程成绩分布异常状态说明材料进行督查。相关督查覆盖率建议应为100%。</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4.对采取论文、报告、文献综述等形式的课程考核材料开展每次不低于20%覆盖面的论文复制比、学术规范抽检。</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5.对其他课程考核材料的抽查不低于30%。</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四、学术与专业指导</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学术与专业指导，分为导师对研究生的日常指导、申请学位论文指导以及导师组的集中指导。</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1.每个导师日常指导每个研究生每学期应当不少于5次，每次不少于1个小时或1千字的文字写作或2篇文献。</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2.属于学校高原学科或其他重大专项建设骨干成员的导师，应指导三年制研究生生均发表1篇以上C3级以上高水平成果，研究生的作者次序不作要求。</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3.导师组的质量监控或集中指导，除开题、预答辩等工作外，导师组组织学位点必修课程考核抽检每学期应不少于5次。</w:t>
      </w:r>
    </w:p>
    <w:p>
      <w:pPr>
        <w:widowControl/>
        <w:shd w:val="clear" w:color="auto" w:fill="FFFFFF"/>
        <w:spacing w:line="420" w:lineRule="atLeast"/>
        <w:jc w:val="center"/>
        <w:rPr>
          <w:rFonts w:ascii="宋体" w:hAnsi="宋体" w:eastAsia="宋体" w:cs="宋体"/>
          <w:kern w:val="0"/>
          <w:sz w:val="24"/>
          <w:szCs w:val="24"/>
        </w:rPr>
      </w:pPr>
      <w:r>
        <w:rPr>
          <w:rFonts w:hint="eastAsia" w:ascii="方正小标宋简体" w:hAnsi="宋体" w:eastAsia="方正小标宋简体" w:cs="宋体"/>
          <w:kern w:val="0"/>
          <w:sz w:val="29"/>
          <w:szCs w:val="29"/>
          <w:shd w:val="clear" w:color="auto" w:fill="FFFFFF"/>
        </w:rPr>
        <w:br w:type="page"/>
      </w:r>
      <w:r>
        <w:rPr>
          <w:rFonts w:hint="eastAsia" w:ascii="宋体" w:hAnsi="宋体" w:eastAsia="宋体" w:cs="宋体"/>
          <w:b/>
          <w:bCs/>
          <w:kern w:val="0"/>
          <w:sz w:val="24"/>
          <w:szCs w:val="24"/>
        </w:rPr>
        <w:t>附件2：研究生学位授予管理保障体系督查要素</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一、过程管理</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1.学位授予管理过程符合学校有关规定，材料齐全：</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(1)通过硕士研究生培养计划规定的课程学习要求，成绩合格；</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(2)开题、预答辩、论文复制比检测、盲审、校内外专家评审合格；</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(3)通过毕业与研究生学位论文答辩，通过市学位办等上级部门组织的学位论文抽检；</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(4)申请毕业或学位具有相应的研究能力：学术硕士研究生在公开出版的学术刊物上发表的署名排在前二名（包括第二名），单位为上海政法学院、与本学科有关的学术成果，且该论文篇幅为两个版面或以上（报纸理论版不少于半个版面）；或参与校内导师或导师组在研的与本人专业方向相符的省部级以上科研项目，项目成果中有一万字以上为本人独立撰写，且结项材料上本人的署名排在前三名（包括第三名）。专业硕士依照本专业硕士点科研要求提交材料。</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2.导师对每个研究生申请学位论文指导应当不少于5次，每次不少于2个小时或2千字的文字写作或5篇文献。</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3.研究生应签署学术诚信承诺书，强化惩戒机制，明确学术不端行为处罚办法，对学位论文作假者取消学位申请资格或撤销学位。</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二、关键环节管理</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1.开题</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(1)组织要求：校外专家参与度不低于33%，高级职称专家为100%。</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(2)开题报告要求：开题材料符合学校规范要求，学生须提供完整的开题报告。</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(3)流程要求：二级学院按照学校有关程序要求，组织开题评审会议，聚焦问题解决，保证论文撰写的可行性与思考深度。</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(4)开题环节要进行完整的陈述与反馈。</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(5)开题材料完整，达到归档要求。</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2.预答辩</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(1)组织要求：校外专家参与度不低于67%，高级职称专家为100%。</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(2)论文要求：参加预答辩的论文符合学校有关规定要求。</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(3)时间要求：预答辩工作应至少在学位论文双盲评审前3个月完成。</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(4)流程要求：预答辩要求本学科全体在读研究生广泛参与,预答辩委员会应开展专业研究生学位论文与实习报告、作品设计、案例分析等关联性审查。</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(5)预答辩材料完整，达到归档要求。</w:t>
      </w:r>
    </w:p>
    <w:p>
      <w:pPr>
        <w:widowControl/>
        <w:shd w:val="clear" w:color="auto" w:fill="FFFFFF"/>
        <w:spacing w:line="420" w:lineRule="atLeast"/>
        <w:rPr>
          <w:rFonts w:ascii="宋体" w:hAnsi="宋体" w:eastAsia="宋体" w:cs="宋体"/>
          <w:kern w:val="0"/>
          <w:sz w:val="24"/>
          <w:szCs w:val="24"/>
        </w:rPr>
      </w:pPr>
      <w:r>
        <w:rPr>
          <w:rFonts w:hint="eastAsia" w:ascii="宋体" w:hAnsi="宋体" w:eastAsia="宋体" w:cs="宋体"/>
          <w:kern w:val="0"/>
          <w:sz w:val="24"/>
          <w:szCs w:val="24"/>
          <w:shd w:val="clear" w:color="auto" w:fill="FFFFFF"/>
        </w:rPr>
        <w:t>     3.答辩</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(1)组织要求：校外专家参与度为100%，校外专家应来自2个以上不同的单位，且正高专家不少于2人。专业学位论文答辩委员会成员中应有不少于三分之二的委员属于实务行业中具有中高级职称（或相当水平）的校外专家。</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(2)论文要求：申请学位论文符合学校有关规定要求。</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(3)程序要求：申请答辩时符合《上海政法学院硕士学位授予工作细则》《上海政法学院硕士学位管理工作细则》《</w:t>
      </w:r>
      <w:r>
        <w:rPr>
          <w:rFonts w:hint="eastAsia" w:ascii="宋体" w:hAnsi="宋体" w:eastAsia="宋体" w:cs="宋体"/>
          <w:kern w:val="0"/>
          <w:sz w:val="24"/>
          <w:szCs w:val="24"/>
        </w:rPr>
        <w:t>上海政法学院关于加强研究生教育质量保障体系建设的实施意见</w:t>
      </w:r>
      <w:r>
        <w:rPr>
          <w:rFonts w:hint="eastAsia" w:ascii="宋体" w:hAnsi="宋体" w:eastAsia="宋体" w:cs="宋体"/>
          <w:kern w:val="0"/>
          <w:sz w:val="24"/>
          <w:szCs w:val="24"/>
          <w:shd w:val="clear" w:color="auto" w:fill="FFFFFF"/>
        </w:rPr>
        <w:t>》等有关规定的各项要求。</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(4)流程要求：实行论文答辩有关信息向社会公开制度，答辩记录完整，达到归档要求。</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三、招生指标与指导硕士生名额动态管理</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1.是否存在盲审不通过，或上级抽检中被认定为“不合格”或“存在问题学位论文”的情形，以及其他督查、抽检中存在严重问题情形；</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2.是否存在学校近两年就业率统计排序连续位于倒数第1-3名的情形；</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3.是否存在研究生与导师的生师比一年内超过5:1，或近三年的生师比超过15:1的情形；</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4.研究生招生拟录取一志愿率是否符合学校规定的情形。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E0002AFF" w:usb1="C0007843" w:usb2="00000009" w:usb3="00000000" w:csb0="400001FF" w:csb1="FFFF0000"/>
  </w:font>
  <w:font w:name="方正小标宋简体">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yYTFhZTlmMTZlZmM2ZGM2MTgyN2UxYjRjMGJjOTEifQ=="/>
  </w:docVars>
  <w:rsids>
    <w:rsidRoot w:val="00DD6F01"/>
    <w:rsid w:val="004523CF"/>
    <w:rsid w:val="00DD6F01"/>
    <w:rsid w:val="63E27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jc w:val="left"/>
      <w:outlineLvl w:val="0"/>
    </w:pPr>
    <w:rPr>
      <w:rFonts w:ascii="宋体" w:hAnsi="宋体" w:eastAsia="宋体" w:cs="宋体"/>
      <w:b/>
      <w:bCs/>
      <w:kern w:val="36"/>
      <w:sz w:val="48"/>
      <w:szCs w:val="48"/>
    </w:rPr>
  </w:style>
  <w:style w:type="paragraph" w:styleId="3">
    <w:name w:val="heading 3"/>
    <w:basedOn w:val="1"/>
    <w:next w:val="1"/>
    <w:link w:val="8"/>
    <w:qFormat/>
    <w:uiPriority w:val="9"/>
    <w:pPr>
      <w:widowControl/>
      <w:jc w:val="left"/>
      <w:outlineLvl w:val="2"/>
    </w:pPr>
    <w:rPr>
      <w:rFonts w:ascii="宋体" w:hAnsi="宋体" w:eastAsia="宋体" w:cs="宋体"/>
      <w:b/>
      <w:bCs/>
      <w:kern w:val="0"/>
      <w:sz w:val="27"/>
      <w:szCs w:val="27"/>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6">
    <w:name w:val="Strong"/>
    <w:basedOn w:val="5"/>
    <w:qFormat/>
    <w:uiPriority w:val="22"/>
    <w:rPr>
      <w:b/>
      <w:bCs/>
    </w:rPr>
  </w:style>
  <w:style w:type="character" w:customStyle="1" w:styleId="7">
    <w:name w:val="标题 1 Char"/>
    <w:basedOn w:val="5"/>
    <w:link w:val="2"/>
    <w:uiPriority w:val="9"/>
    <w:rPr>
      <w:rFonts w:ascii="宋体" w:hAnsi="宋体" w:eastAsia="宋体" w:cs="宋体"/>
      <w:b/>
      <w:bCs/>
      <w:kern w:val="36"/>
      <w:sz w:val="48"/>
      <w:szCs w:val="48"/>
    </w:rPr>
  </w:style>
  <w:style w:type="character" w:customStyle="1" w:styleId="8">
    <w:name w:val="标题 3 Char"/>
    <w:basedOn w:val="5"/>
    <w:link w:val="3"/>
    <w:uiPriority w:val="9"/>
    <w:rPr>
      <w:rFonts w:ascii="宋体" w:hAnsi="宋体" w:eastAsia="宋体" w:cs="宋体"/>
      <w:b/>
      <w:bCs/>
      <w:kern w:val="0"/>
      <w:sz w:val="27"/>
      <w:szCs w:val="27"/>
    </w:rPr>
  </w:style>
  <w:style w:type="character" w:customStyle="1" w:styleId="9">
    <w:name w:val="wp_visitcount1"/>
    <w:basedOn w:val="5"/>
    <w:uiPriority w:val="0"/>
    <w:rPr>
      <w:vanish/>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9097</Words>
  <Characters>9331</Characters>
  <Lines>67</Lines>
  <Paragraphs>18</Paragraphs>
  <TotalTime>1</TotalTime>
  <ScaleCrop>false</ScaleCrop>
  <LinksUpToDate>false</LinksUpToDate>
  <CharactersWithSpaces>9352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2022-09-23T06:40:00Z</dcterms:created>
  <dc:creator>黄丹丹</dc:creator>
  <cp:lastModifiedBy>Administrator</cp:lastModifiedBy>
  <dcterms:modified xsi:type="dcterms:W3CDTF">2022-09-23T06:55:34Z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ACCD81A8290B4313A1F706C70C601E7D</vt:lpwstr>
  </property>
</Properties>
</file>