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b/>
          <w:sz w:val="32"/>
          <w:szCs w:val="32"/>
        </w:rPr>
      </w:pPr>
      <w:bookmarkStart w:id="0" w:name="_GoBack"/>
      <w:r>
        <w:rPr>
          <w:rFonts w:hint="eastAsia" w:ascii="宋体" w:hAnsi="宋体" w:eastAsia="宋体"/>
          <w:b/>
          <w:sz w:val="32"/>
          <w:szCs w:val="32"/>
        </w:rPr>
        <w:t>上海市第四届大学生法律案例分析大赛通知</w:t>
      </w:r>
      <w:bookmarkEnd w:id="0"/>
    </w:p>
    <w:p>
      <w:pPr>
        <w:spacing w:line="440" w:lineRule="exact"/>
        <w:jc w:val="center"/>
        <w:rPr>
          <w:rFonts w:ascii="宋体" w:hAnsi="宋体" w:eastAsia="宋体"/>
          <w:b/>
          <w:sz w:val="32"/>
          <w:szCs w:val="32"/>
        </w:rPr>
      </w:pPr>
    </w:p>
    <w:p>
      <w:pPr>
        <w:pStyle w:val="12"/>
        <w:spacing w:line="440" w:lineRule="exact"/>
        <w:ind w:firstLine="482"/>
        <w:rPr>
          <w:rFonts w:ascii="宋体" w:hAnsi="宋体" w:eastAsia="宋体"/>
          <w:b/>
          <w:sz w:val="24"/>
          <w:szCs w:val="24"/>
        </w:rPr>
      </w:pPr>
      <w:r>
        <w:rPr>
          <w:rFonts w:hint="eastAsia" w:ascii="宋体" w:hAnsi="宋体" w:eastAsia="宋体"/>
          <w:b/>
          <w:sz w:val="24"/>
          <w:szCs w:val="24"/>
        </w:rPr>
        <w:t>一、大赛目的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以“经改编的真实卷宗”为题，考察学生归纳案件事实，综合运用法学理论知识和法律条文对案件事实进行法律分析，得出法律结论的能力。发挥大赛第二课堂作用，引导学生关注社会，关注最新司法实践，提高学生的法学实践能力。以大赛为平台，加强产学合作和院校交流，共同提升上海法学教育整体质量。</w:t>
      </w:r>
      <w:r>
        <w:rPr>
          <w:rFonts w:ascii="宋体" w:hAnsi="宋体" w:eastAsia="宋体"/>
          <w:sz w:val="24"/>
          <w:szCs w:val="24"/>
        </w:rPr>
        <w:t xml:space="preserve"> </w:t>
      </w:r>
    </w:p>
    <w:p>
      <w:pPr>
        <w:spacing w:line="440" w:lineRule="exact"/>
        <w:ind w:firstLine="482" w:firstLineChars="200"/>
        <w:rPr>
          <w:rFonts w:ascii="宋体" w:hAnsi="宋体" w:eastAsia="宋体"/>
          <w:b/>
          <w:sz w:val="24"/>
          <w:szCs w:val="24"/>
        </w:rPr>
      </w:pP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二、赛事机构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（一）主管单位</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 xml:space="preserve">    上海市教育委员会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（二）顾问指导单位</w:t>
      </w:r>
    </w:p>
    <w:p>
      <w:pPr>
        <w:spacing w:line="440" w:lineRule="exact"/>
        <w:ind w:left="449" w:leftChars="214" w:firstLine="480" w:firstLineChars="200"/>
        <w:rPr>
          <w:rFonts w:ascii="宋体" w:hAnsi="宋体" w:eastAsia="宋体"/>
          <w:sz w:val="24"/>
          <w:szCs w:val="24"/>
        </w:rPr>
      </w:pPr>
      <w:r>
        <w:rPr>
          <w:rFonts w:hint="eastAsia" w:ascii="宋体" w:hAnsi="宋体" w:eastAsia="宋体"/>
          <w:sz w:val="24"/>
          <w:szCs w:val="24"/>
        </w:rPr>
        <w:t>上海市高级人民法院  上海市人民检察院  上海市司法局</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（三）支持合作单位</w:t>
      </w:r>
    </w:p>
    <w:p>
      <w:pPr>
        <w:spacing w:line="440" w:lineRule="exact"/>
        <w:ind w:firstLine="960" w:firstLineChars="400"/>
        <w:rPr>
          <w:rFonts w:ascii="宋体" w:hAnsi="宋体" w:eastAsia="宋体" w:cs="宋体"/>
          <w:bCs/>
          <w:sz w:val="24"/>
          <w:szCs w:val="24"/>
        </w:rPr>
      </w:pPr>
      <w:r>
        <w:rPr>
          <w:rFonts w:hint="eastAsia" w:ascii="宋体" w:hAnsi="宋体" w:eastAsia="宋体" w:cs="宋体"/>
          <w:bCs/>
          <w:sz w:val="24"/>
          <w:szCs w:val="24"/>
        </w:rPr>
        <w:t>上海交通大学  复旦大学  华东师范大学  同济大学  东华大学</w:t>
      </w:r>
    </w:p>
    <w:p>
      <w:pPr>
        <w:spacing w:line="440" w:lineRule="exact"/>
        <w:ind w:firstLine="960" w:firstLineChars="400"/>
        <w:rPr>
          <w:rFonts w:ascii="宋体" w:hAnsi="宋体" w:eastAsia="宋体" w:cs="宋体"/>
          <w:bCs/>
          <w:sz w:val="24"/>
          <w:szCs w:val="24"/>
        </w:rPr>
      </w:pPr>
      <w:r>
        <w:rPr>
          <w:rFonts w:hint="eastAsia" w:ascii="宋体" w:hAnsi="宋体" w:eastAsia="宋体" w:cs="宋体"/>
          <w:bCs/>
          <w:sz w:val="24"/>
          <w:szCs w:val="24"/>
        </w:rPr>
        <w:t>华东理工大学  上海大学  上海财经大学  上海对外经贸大学</w:t>
      </w:r>
    </w:p>
    <w:p>
      <w:pPr>
        <w:spacing w:line="440" w:lineRule="exact"/>
        <w:ind w:firstLine="960" w:firstLineChars="400"/>
        <w:rPr>
          <w:rFonts w:ascii="宋体" w:hAnsi="宋体" w:eastAsia="宋体" w:cs="宋体"/>
          <w:bCs/>
          <w:sz w:val="24"/>
          <w:szCs w:val="24"/>
        </w:rPr>
      </w:pPr>
      <w:r>
        <w:rPr>
          <w:rFonts w:hint="eastAsia" w:ascii="宋体" w:hAnsi="宋体" w:eastAsia="宋体" w:cs="宋体"/>
          <w:bCs/>
          <w:sz w:val="24"/>
          <w:szCs w:val="24"/>
        </w:rPr>
        <w:t>上海外国语大学 上海师范大学  上海海事大学 上海政法学院</w:t>
      </w:r>
    </w:p>
    <w:p>
      <w:pPr>
        <w:spacing w:line="440" w:lineRule="exact"/>
        <w:ind w:firstLine="960" w:firstLineChars="400"/>
        <w:rPr>
          <w:rFonts w:ascii="宋体" w:hAnsi="宋体" w:eastAsia="宋体" w:cs="宋体"/>
          <w:bCs/>
          <w:sz w:val="24"/>
          <w:szCs w:val="24"/>
        </w:rPr>
      </w:pPr>
      <w:r>
        <w:rPr>
          <w:rFonts w:hint="eastAsia" w:ascii="宋体" w:hAnsi="宋体" w:eastAsia="宋体" w:cs="宋体"/>
          <w:bCs/>
          <w:sz w:val="24"/>
          <w:szCs w:val="24"/>
        </w:rPr>
        <w:t>上海海关学院  上海立信会计金融学院  上海公安学院 上海商学院</w:t>
      </w:r>
    </w:p>
    <w:p>
      <w:pPr>
        <w:spacing w:line="440" w:lineRule="exact"/>
        <w:ind w:firstLine="928" w:firstLineChars="400"/>
        <w:rPr>
          <w:rFonts w:ascii="宋体" w:hAnsi="宋体" w:eastAsia="宋体" w:cs="宋体"/>
          <w:bCs/>
          <w:spacing w:val="-4"/>
          <w:sz w:val="24"/>
          <w:szCs w:val="24"/>
        </w:rPr>
      </w:pPr>
      <w:r>
        <w:rPr>
          <w:rFonts w:hint="eastAsia" w:ascii="宋体" w:hAnsi="宋体" w:eastAsia="宋体" w:cs="宋体"/>
          <w:bCs/>
          <w:spacing w:val="-4"/>
          <w:sz w:val="24"/>
          <w:szCs w:val="24"/>
        </w:rPr>
        <w:t>上海外国语贤达经济人文学院 上海杉达学院 上海工商外国语职业学院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（四）主办单位</w:t>
      </w:r>
    </w:p>
    <w:p>
      <w:pPr>
        <w:spacing w:line="440" w:lineRule="exact"/>
        <w:ind w:firstLine="960" w:firstLineChars="400"/>
        <w:rPr>
          <w:rFonts w:ascii="宋体" w:hAnsi="宋体" w:eastAsia="宋体"/>
          <w:bCs/>
          <w:sz w:val="24"/>
          <w:szCs w:val="24"/>
        </w:rPr>
      </w:pPr>
      <w:r>
        <w:rPr>
          <w:rFonts w:hint="eastAsia" w:ascii="宋体" w:hAnsi="宋体" w:eastAsia="宋体"/>
          <w:bCs/>
          <w:sz w:val="24"/>
          <w:szCs w:val="24"/>
        </w:rPr>
        <w:t xml:space="preserve">华东政法大学 上海市律师协会  </w:t>
      </w:r>
    </w:p>
    <w:p>
      <w:pPr>
        <w:spacing w:line="440" w:lineRule="exact"/>
        <w:ind w:firstLine="482" w:firstLineChars="200"/>
        <w:rPr>
          <w:rFonts w:ascii="宋体" w:hAnsi="宋体" w:eastAsia="宋体"/>
          <w:b/>
          <w:sz w:val="24"/>
          <w:szCs w:val="24"/>
        </w:rPr>
      </w:pP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三、参赛对象</w:t>
      </w:r>
    </w:p>
    <w:p>
      <w:pPr>
        <w:spacing w:line="440" w:lineRule="exact"/>
        <w:ind w:firstLine="960" w:firstLineChars="400"/>
        <w:rPr>
          <w:rFonts w:ascii="宋体" w:hAnsi="宋体" w:eastAsia="宋体"/>
          <w:sz w:val="24"/>
          <w:szCs w:val="24"/>
        </w:rPr>
      </w:pPr>
      <w:r>
        <w:rPr>
          <w:rFonts w:hint="eastAsia" w:ascii="宋体" w:hAnsi="宋体" w:eastAsia="宋体"/>
          <w:sz w:val="24"/>
          <w:szCs w:val="24"/>
        </w:rPr>
        <w:t>仅限于上海各高校法学专业本、专科生。</w:t>
      </w:r>
    </w:p>
    <w:p>
      <w:pPr>
        <w:spacing w:line="440" w:lineRule="exact"/>
        <w:ind w:firstLine="482" w:firstLineChars="200"/>
        <w:rPr>
          <w:rFonts w:ascii="宋体" w:hAnsi="宋体" w:eastAsia="宋体"/>
          <w:b/>
          <w:sz w:val="24"/>
          <w:szCs w:val="24"/>
        </w:rPr>
      </w:pPr>
    </w:p>
    <w:p>
      <w:pPr>
        <w:spacing w:line="440" w:lineRule="exact"/>
        <w:ind w:firstLine="482" w:firstLineChars="200"/>
        <w:rPr>
          <w:rFonts w:ascii="宋体" w:hAnsi="宋体" w:eastAsia="宋体"/>
          <w:sz w:val="24"/>
          <w:szCs w:val="24"/>
        </w:rPr>
      </w:pPr>
      <w:r>
        <w:rPr>
          <w:rFonts w:hint="eastAsia" w:ascii="宋体" w:hAnsi="宋体" w:eastAsia="宋体"/>
          <w:b/>
          <w:sz w:val="24"/>
          <w:szCs w:val="24"/>
        </w:rPr>
        <w:t>四、赛制安排</w:t>
      </w:r>
    </w:p>
    <w:p>
      <w:pPr>
        <w:spacing w:line="440" w:lineRule="exact"/>
        <w:ind w:left="420" w:leftChars="200"/>
        <w:rPr>
          <w:rFonts w:ascii="宋体" w:hAnsi="宋体" w:eastAsia="宋体"/>
          <w:sz w:val="24"/>
          <w:szCs w:val="24"/>
        </w:rPr>
      </w:pPr>
      <w:r>
        <w:rPr>
          <w:rFonts w:hint="eastAsia" w:ascii="宋体" w:hAnsi="宋体" w:eastAsia="宋体"/>
          <w:sz w:val="24"/>
          <w:szCs w:val="24"/>
        </w:rPr>
        <w:t>（一）初赛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学生线上提交案例分析报告；主办方邀请有关专家组成评审组对学生提交的案例分析报告进行书面评审，给出初赛成绩，确定并公布晋级决赛的名单，预计2022年4月中下旬可查询初赛结果。</w:t>
      </w:r>
    </w:p>
    <w:p>
      <w:pPr>
        <w:spacing w:line="440" w:lineRule="exact"/>
        <w:ind w:firstLine="420"/>
        <w:rPr>
          <w:rFonts w:ascii="宋体" w:hAnsi="宋体" w:eastAsia="宋体"/>
          <w:sz w:val="24"/>
          <w:szCs w:val="24"/>
        </w:rPr>
      </w:pPr>
      <w:r>
        <w:rPr>
          <w:rFonts w:hint="eastAsia" w:ascii="宋体" w:hAnsi="宋体" w:eastAsia="宋体"/>
          <w:sz w:val="24"/>
          <w:szCs w:val="24"/>
        </w:rPr>
        <w:t>（二）决赛</w:t>
      </w:r>
    </w:p>
    <w:p>
      <w:pPr>
        <w:spacing w:line="440" w:lineRule="exact"/>
        <w:ind w:firstLine="42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决赛通过答辩的形式进行。晋级决赛的选手就其提交的案例分析报告做10-15分钟的阐述并回答专家提问，专家根据其综合表现给出决赛成绩。预计2022年5月中上旬举行决赛现场答辩，答辩结束3-5天后即可查询决赛成绩。</w:t>
      </w:r>
    </w:p>
    <w:p>
      <w:pPr>
        <w:spacing w:line="440" w:lineRule="exact"/>
        <w:ind w:firstLine="42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若因疫情等不可抗力影响不举办决赛答辩的，将加强初赛评审，视初赛成绩为最终成绩。</w:t>
      </w:r>
    </w:p>
    <w:p>
      <w:pPr>
        <w:spacing w:line="440" w:lineRule="exact"/>
        <w:ind w:left="420"/>
        <w:rPr>
          <w:rFonts w:ascii="宋体" w:hAnsi="宋体" w:eastAsia="宋体"/>
          <w:b/>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（四）颁奖</w:t>
      </w:r>
    </w:p>
    <w:p>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主办方根据晋级决赛的选手的初赛成绩（占60%的权重）和决赛成绩（占40%的权重）综合计算出最终成绩，评出并公布特等奖、一等奖、二等奖、三等奖、鼓励奖等若干名。预计2022年5月下旬举行颁奖仪式。</w:t>
      </w:r>
    </w:p>
    <w:p>
      <w:pPr>
        <w:spacing w:line="440" w:lineRule="exact"/>
        <w:ind w:firstLine="42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若因疫情等不可抗力影响决定不举办颁奖仪式的，将取消颁奖仪式。</w:t>
      </w:r>
    </w:p>
    <w:p>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大赛通知、比赛成绩、获奖等级等暂定通过以下网站或公众号查询：</w:t>
      </w:r>
    </w:p>
    <w:p>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东方律师网：</w:t>
      </w:r>
      <w:r>
        <w:rPr>
          <w:rFonts w:ascii="Times New Roman" w:hAnsi="Times New Roman" w:eastAsia="宋体" w:cs="Times New Roman"/>
          <w:color w:val="000000" w:themeColor="text1"/>
          <w:sz w:val="24"/>
          <w:szCs w:val="24"/>
          <w14:textFill>
            <w14:solidFill>
              <w14:schemeClr w14:val="tx1"/>
            </w14:solidFill>
          </w14:textFill>
        </w:rPr>
        <w:t>http://www.lawyers.org.cn/</w:t>
      </w:r>
      <w:r>
        <w:rPr>
          <w:rFonts w:hint="eastAsia" w:ascii="宋体" w:hAnsi="宋体" w:eastAsia="宋体"/>
          <w:color w:val="000000" w:themeColor="text1"/>
          <w:sz w:val="24"/>
          <w:szCs w:val="24"/>
          <w14:textFill>
            <w14:solidFill>
              <w14:schemeClr w14:val="tx1"/>
            </w14:solidFill>
          </w14:textFill>
        </w:rPr>
        <w:t>通知公告处</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华东政法大学官网：</w:t>
      </w:r>
      <w:r>
        <w:rPr>
          <w:rFonts w:ascii="Times New Roman" w:hAnsi="Times New Roman" w:eastAsia="宋体" w:cs="Times New Roman"/>
          <w:color w:val="000000" w:themeColor="text1"/>
          <w:sz w:val="24"/>
          <w:szCs w:val="24"/>
          <w14:textFill>
            <w14:solidFill>
              <w14:schemeClr w14:val="tx1"/>
            </w14:solidFill>
          </w14:textFill>
        </w:rPr>
        <w:t>http://www.ecupl.edu.cn</w:t>
      </w:r>
      <w:r>
        <w:rPr>
          <w:rFonts w:hint="eastAsia" w:ascii="Times New Roman" w:hAnsi="Times New Roman" w:eastAsia="宋体" w:cs="Times New Roman"/>
          <w:color w:val="000000" w:themeColor="text1"/>
          <w:sz w:val="24"/>
          <w:szCs w:val="24"/>
          <w14:textFill>
            <w14:solidFill>
              <w14:schemeClr w14:val="tx1"/>
            </w14:solidFill>
          </w14:textFill>
        </w:rPr>
        <w:t>/校园通告处</w:t>
      </w:r>
    </w:p>
    <w:p>
      <w:pPr>
        <w:spacing w:line="440" w:lineRule="exact"/>
        <w:ind w:firstLine="480" w:firstLineChars="200"/>
        <w:rPr>
          <w:rFonts w:ascii="宋体" w:hAnsi="宋体" w:eastAsia="宋体"/>
          <w:b/>
          <w:sz w:val="24"/>
          <w:szCs w:val="24"/>
        </w:rPr>
      </w:pPr>
      <w:r>
        <w:rPr>
          <w:rFonts w:hint="eastAsia" w:ascii="宋体" w:hAnsi="宋体" w:eastAsia="宋体"/>
          <w:color w:val="000000" w:themeColor="text1"/>
          <w:sz w:val="24"/>
          <w:szCs w:val="24"/>
          <w14:textFill>
            <w14:solidFill>
              <w14:schemeClr w14:val="tx1"/>
            </w14:solidFill>
          </w14:textFill>
        </w:rPr>
        <w:t>微信公众号：上海律协、华政教务</w:t>
      </w:r>
    </w:p>
    <w:p>
      <w:pPr>
        <w:spacing w:line="440" w:lineRule="exact"/>
        <w:ind w:firstLine="482" w:firstLineChars="200"/>
        <w:rPr>
          <w:rFonts w:ascii="宋体" w:hAnsi="宋体" w:eastAsia="宋体"/>
          <w:b/>
          <w:sz w:val="24"/>
          <w:szCs w:val="24"/>
        </w:rPr>
      </w:pP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五、参赛方式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（一）下载赛题（见附件1）</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（二）撰写案例分析报告</w:t>
      </w:r>
    </w:p>
    <w:p>
      <w:pPr>
        <w:spacing w:line="440" w:lineRule="exact"/>
        <w:ind w:firstLine="43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学生以个人为单位撰写案例分析报告。</w:t>
      </w:r>
    </w:p>
    <w:p>
      <w:pPr>
        <w:spacing w:line="440" w:lineRule="exact"/>
        <w:ind w:firstLine="43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今年考察的是对商事案件的事实归纳及法律适用，要求参赛选手根据案件材料，整理要件事实、归纳案件争点，根据现行民商事法律、司法解释及相关法律原理撰写一份以分析案件原被告权利义务为主要内容的分析报告，字数不限。参赛选手应对所提交的案例分析报告拥有合法的著作权，不得抄袭、剽窃他人的作品及观点。</w:t>
      </w:r>
    </w:p>
    <w:p>
      <w:pPr>
        <w:spacing w:line="440" w:lineRule="exact"/>
        <w:ind w:firstLine="430"/>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案例分析报告由三部分组成：封面+评审记录表+正文（见附件2）</w:t>
      </w:r>
      <w:r>
        <w:rPr>
          <w:rFonts w:hint="eastAsia" w:ascii="宋体" w:hAnsi="宋体" w:eastAsia="宋体"/>
          <w:sz w:val="24"/>
          <w:szCs w:val="24"/>
        </w:rPr>
        <w:t>案例分析报告标题及正文格式要求：</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1.一级标题黑体，小三号；二级标题黑体，四号；</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2.一、二级标题与内容之间空一行，三级标题与内容之间不空行；</w:t>
      </w:r>
      <w:r>
        <w:rPr>
          <w:rFonts w:ascii="宋体" w:hAnsi="宋体" w:eastAsia="宋体"/>
          <w:sz w:val="24"/>
          <w:szCs w:val="24"/>
        </w:rPr>
        <w:t xml:space="preserve"> </w:t>
      </w:r>
    </w:p>
    <w:p>
      <w:pPr>
        <w:spacing w:line="360" w:lineRule="auto"/>
        <w:ind w:firstLine="412" w:firstLineChars="200"/>
        <w:jc w:val="left"/>
        <w:rPr>
          <w:rFonts w:ascii="宋体" w:hAnsi="宋体" w:eastAsia="宋体"/>
          <w:spacing w:val="-17"/>
          <w:sz w:val="24"/>
          <w:szCs w:val="24"/>
        </w:rPr>
      </w:pPr>
      <w:r>
        <w:rPr>
          <w:rFonts w:hint="eastAsia" w:ascii="宋体" w:hAnsi="宋体" w:eastAsia="宋体"/>
          <w:spacing w:val="-17"/>
          <w:sz w:val="24"/>
          <w:szCs w:val="24"/>
        </w:rPr>
        <w:t>3.正文采用宋体，小四号，行距固定值22磅；英文或数字采用</w:t>
      </w:r>
      <w:r>
        <w:rPr>
          <w:rFonts w:ascii="宋体" w:hAnsi="宋体" w:eastAsia="宋体"/>
          <w:spacing w:val="-17"/>
          <w:sz w:val="24"/>
          <w:szCs w:val="24"/>
        </w:rPr>
        <w:t>Times New Roman</w:t>
      </w:r>
      <w:r>
        <w:rPr>
          <w:rFonts w:hint="eastAsia" w:ascii="宋体" w:hAnsi="宋体" w:eastAsia="宋体"/>
          <w:spacing w:val="-17"/>
          <w:sz w:val="24"/>
          <w:szCs w:val="24"/>
        </w:rPr>
        <w:t>；</w:t>
      </w:r>
    </w:p>
    <w:p>
      <w:pPr>
        <w:spacing w:line="360" w:lineRule="auto"/>
        <w:ind w:firstLine="480" w:firstLineChars="200"/>
        <w:jc w:val="left"/>
        <w:rPr>
          <w:rFonts w:ascii="宋体" w:hAnsi="宋体" w:eastAsia="宋体"/>
          <w:sz w:val="24"/>
          <w:szCs w:val="24"/>
        </w:rPr>
      </w:pPr>
      <w:r>
        <w:rPr>
          <w:rFonts w:ascii="宋体" w:hAnsi="宋体" w:eastAsia="宋体"/>
          <w:sz w:val="24"/>
          <w:szCs w:val="24"/>
        </w:rPr>
        <w:t>4.正文首行缩进2字符，无其他前后缩进；段前段后间距均为0.5行</w:t>
      </w:r>
      <w:r>
        <w:rPr>
          <w:rFonts w:hint="eastAsia" w:ascii="宋体" w:hAnsi="宋体" w:eastAsia="宋体"/>
          <w:sz w:val="24"/>
          <w:szCs w:val="24"/>
        </w:rPr>
        <w:t>。</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（三）提交案例分析报告</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以学校为单位统一提交参赛作品,各支持合作单位计划指标如下:</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α≤100,提交的作品数量原则上不超过25篇;</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100＜α≤300,提交的作品数量原则上不超过45篇;</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300＜α≤500,提交的作品数量原则上不超过80篇;</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500＜α≤1500,提交的作品数量原则上不超过185篇.</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(注:α为每届法学专业在校本科生数)</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截止时间：2022年3月10日</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接收要求：压缩文件,内含参赛的word版本的案例分析报告</w:t>
      </w:r>
    </w:p>
    <w:p>
      <w:pPr>
        <w:pStyle w:val="6"/>
        <w:widowControl/>
        <w:shd w:val="clear" w:color="auto" w:fill="FFFFFF"/>
        <w:spacing w:line="440" w:lineRule="atLeast"/>
        <w:ind w:firstLine="482" w:firstLineChars="200"/>
        <w:rPr>
          <w:rFonts w:hint="default"/>
          <w:b/>
          <w:color w:val="000000"/>
        </w:rPr>
      </w:pPr>
      <w:r>
        <w:rPr>
          <w:b/>
          <w:bCs/>
        </w:rPr>
        <w:t>接收邮箱：</w:t>
      </w:r>
      <w:r>
        <w:rPr>
          <w:b/>
          <w:bCs/>
          <w:color w:val="000000"/>
          <w:shd w:val="clear" w:color="auto" w:fill="FFFFFF"/>
        </w:rPr>
        <w:t>anlifenxidasai001@163.com</w:t>
      </w: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邮件标题：上海市第三届大学生法律案例分析大赛+</w:t>
      </w:r>
      <w:r>
        <w:rPr>
          <w:rFonts w:ascii="Arial" w:hAnsi="Arial" w:eastAsia="宋体" w:cs="Arial"/>
          <w:b/>
          <w:bCs/>
          <w:sz w:val="24"/>
          <w:szCs w:val="24"/>
        </w:rPr>
        <w:t>×××</w:t>
      </w:r>
      <w:r>
        <w:rPr>
          <w:rFonts w:hint="eastAsia" w:ascii="宋体" w:hAnsi="宋体" w:eastAsia="宋体"/>
          <w:b/>
          <w:bCs/>
          <w:sz w:val="24"/>
          <w:szCs w:val="24"/>
        </w:rPr>
        <w:t>学校+</w:t>
      </w:r>
      <w:r>
        <w:rPr>
          <w:rFonts w:ascii="Arial" w:hAnsi="Arial" w:eastAsia="宋体" w:cs="Arial"/>
          <w:b/>
          <w:bCs/>
          <w:sz w:val="24"/>
          <w:szCs w:val="24"/>
        </w:rPr>
        <w:t>×××</w:t>
      </w:r>
      <w:r>
        <w:rPr>
          <w:rFonts w:hint="eastAsia" w:ascii="Arial" w:hAnsi="Arial" w:eastAsia="宋体" w:cs="Arial"/>
          <w:b/>
          <w:bCs/>
          <w:sz w:val="24"/>
          <w:szCs w:val="24"/>
        </w:rPr>
        <w:t>篇</w:t>
      </w:r>
    </w:p>
    <w:p>
      <w:pPr>
        <w:spacing w:line="440" w:lineRule="exact"/>
        <w:ind w:firstLine="482" w:firstLineChars="200"/>
        <w:rPr>
          <w:rFonts w:ascii="宋体" w:hAnsi="宋体" w:eastAsia="宋体"/>
          <w:b/>
          <w:sz w:val="24"/>
          <w:szCs w:val="24"/>
        </w:rPr>
      </w:pP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六、奖项设置</w:t>
      </w:r>
    </w:p>
    <w:p>
      <w:pPr>
        <w:spacing w:line="440" w:lineRule="exact"/>
        <w:ind w:firstLine="480" w:firstLineChars="200"/>
        <w:rPr>
          <w:rFonts w:ascii="宋体" w:hAnsi="宋体" w:eastAsia="宋体"/>
          <w:sz w:val="24"/>
          <w:szCs w:val="24"/>
          <w:u w:val="single"/>
        </w:rPr>
      </w:pPr>
      <w:r>
        <w:rPr>
          <w:rFonts w:hint="eastAsia" w:ascii="宋体" w:hAnsi="宋体" w:eastAsia="宋体"/>
          <w:sz w:val="24"/>
          <w:szCs w:val="24"/>
        </w:rPr>
        <w:t>特等奖：若干名，奖金：</w:t>
      </w:r>
      <w:r>
        <w:rPr>
          <w:rFonts w:hint="eastAsia" w:ascii="宋体" w:hAnsi="宋体" w:eastAsia="宋体"/>
          <w:sz w:val="24"/>
          <w:szCs w:val="24"/>
          <w:u w:val="single"/>
        </w:rPr>
        <w:t xml:space="preserve">   2000元     </w:t>
      </w:r>
    </w:p>
    <w:p>
      <w:pPr>
        <w:spacing w:line="440" w:lineRule="exact"/>
        <w:ind w:firstLine="480" w:firstLineChars="200"/>
        <w:rPr>
          <w:rFonts w:ascii="宋体" w:hAnsi="宋体" w:eastAsia="宋体"/>
          <w:sz w:val="24"/>
          <w:szCs w:val="24"/>
          <w:u w:val="single"/>
        </w:rPr>
      </w:pPr>
      <w:r>
        <w:rPr>
          <w:rFonts w:hint="eastAsia" w:ascii="宋体" w:hAnsi="宋体" w:eastAsia="宋体"/>
          <w:sz w:val="24"/>
          <w:szCs w:val="24"/>
        </w:rPr>
        <w:t>一等奖：若干名，奖金：</w:t>
      </w:r>
      <w:r>
        <w:rPr>
          <w:rFonts w:hint="eastAsia" w:ascii="宋体" w:hAnsi="宋体" w:eastAsia="宋体"/>
          <w:sz w:val="24"/>
          <w:szCs w:val="24"/>
          <w:u w:val="single"/>
        </w:rPr>
        <w:t xml:space="preserve">   1500元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二等奖：若干名，奖金：</w:t>
      </w:r>
      <w:r>
        <w:rPr>
          <w:rFonts w:hint="eastAsia" w:ascii="宋体" w:hAnsi="宋体" w:eastAsia="宋体"/>
          <w:sz w:val="24"/>
          <w:szCs w:val="24"/>
          <w:u w:val="single"/>
        </w:rPr>
        <w:t xml:space="preserve">   1000元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三等奖：若干名，奖金：</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500元      </w:t>
      </w:r>
    </w:p>
    <w:p>
      <w:pPr>
        <w:spacing w:line="440" w:lineRule="exact"/>
        <w:ind w:firstLine="480" w:firstLineChars="200"/>
        <w:rPr>
          <w:rFonts w:ascii="宋体" w:hAnsi="宋体" w:eastAsia="宋体"/>
          <w:sz w:val="24"/>
          <w:szCs w:val="24"/>
          <w:u w:val="single"/>
        </w:rPr>
      </w:pPr>
      <w:r>
        <w:rPr>
          <w:rFonts w:hint="eastAsia" w:ascii="宋体" w:hAnsi="宋体" w:eastAsia="宋体"/>
          <w:sz w:val="24"/>
          <w:szCs w:val="24"/>
        </w:rPr>
        <w:t>鼓励奖：若干名，奖金：</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200元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40" w:lineRule="exact"/>
        <w:ind w:firstLine="480" w:firstLineChars="200"/>
        <w:rPr>
          <w:rFonts w:ascii="宋体" w:hAnsi="宋体" w:eastAsia="宋体"/>
          <w:sz w:val="24"/>
          <w:szCs w:val="24"/>
          <w:u w:val="single"/>
        </w:rPr>
      </w:pPr>
      <w:r>
        <w:rPr>
          <w:rFonts w:hint="eastAsia" w:ascii="宋体" w:hAnsi="宋体" w:eastAsia="宋体"/>
          <w:sz w:val="24"/>
          <w:szCs w:val="24"/>
        </w:rPr>
        <w:t>优秀组织指导奖：若干名，奖金：</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1000元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40" w:lineRule="exact"/>
        <w:ind w:firstLine="480" w:firstLineChars="200"/>
        <w:rPr>
          <w:rFonts w:ascii="宋体" w:hAnsi="宋体" w:eastAsia="宋体"/>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大赛联系人：华东政法大学教学实践科科长杜东东</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联系电话：021-57090313、13636332561。</w:t>
      </w:r>
    </w:p>
    <w:p>
      <w:pPr>
        <w:spacing w:line="440" w:lineRule="exact"/>
        <w:ind w:firstLine="482" w:firstLineChars="200"/>
        <w:rPr>
          <w:rFonts w:ascii="宋体" w:hAnsi="宋体" w:eastAsia="宋体"/>
          <w:b/>
          <w:bCs/>
          <w:sz w:val="24"/>
          <w:szCs w:val="24"/>
        </w:rPr>
      </w:pPr>
    </w:p>
    <w:p>
      <w:pPr>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七、附件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附件1：赛题</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附件2：</w:t>
      </w:r>
      <w:r>
        <w:rPr>
          <w:rFonts w:hint="eastAsia" w:ascii="宋体" w:hAnsi="宋体" w:eastAsia="宋体"/>
          <w:color w:val="000000" w:themeColor="text1"/>
          <w:sz w:val="24"/>
          <w:szCs w:val="24"/>
          <w14:textFill>
            <w14:solidFill>
              <w14:schemeClr w14:val="tx1"/>
            </w14:solidFill>
          </w14:textFill>
        </w:rPr>
        <w:t>案例分析报告样式</w:t>
      </w:r>
    </w:p>
    <w:p>
      <w:pPr>
        <w:spacing w:line="440" w:lineRule="exact"/>
        <w:ind w:firstLine="6000" w:firstLineChars="2500"/>
        <w:jc w:val="distribute"/>
        <w:rPr>
          <w:rFonts w:ascii="宋体" w:hAnsi="宋体" w:eastAsia="宋体"/>
          <w:sz w:val="24"/>
          <w:szCs w:val="24"/>
        </w:rPr>
      </w:pPr>
      <w:r>
        <w:rPr>
          <w:rFonts w:hint="eastAsia" w:ascii="宋体" w:hAnsi="宋体" w:eastAsia="宋体"/>
          <w:sz w:val="24"/>
          <w:szCs w:val="24"/>
        </w:rPr>
        <w:t>华东政法大学</w:t>
      </w:r>
    </w:p>
    <w:p>
      <w:pPr>
        <w:spacing w:line="440" w:lineRule="exact"/>
        <w:ind w:firstLine="6000" w:firstLineChars="2500"/>
        <w:jc w:val="distribute"/>
        <w:rPr>
          <w:rFonts w:ascii="宋体" w:hAnsi="宋体" w:eastAsia="宋体"/>
          <w:sz w:val="24"/>
          <w:szCs w:val="24"/>
        </w:rPr>
      </w:pPr>
      <w:r>
        <w:rPr>
          <w:rFonts w:hint="eastAsia" w:ascii="宋体" w:hAnsi="宋体" w:eastAsia="宋体"/>
          <w:sz w:val="24"/>
          <w:szCs w:val="24"/>
        </w:rPr>
        <w:t>上海市律师协会</w:t>
      </w:r>
    </w:p>
    <w:p>
      <w:pPr>
        <w:spacing w:line="440" w:lineRule="exact"/>
        <w:ind w:firstLine="6240" w:firstLineChars="2600"/>
        <w:rPr>
          <w:rFonts w:ascii="宋体" w:hAnsi="宋体" w:eastAsia="宋体"/>
          <w:sz w:val="24"/>
          <w:szCs w:val="24"/>
        </w:rPr>
      </w:pPr>
      <w:r>
        <w:rPr>
          <w:rFonts w:hint="eastAsia" w:ascii="宋体" w:hAnsi="宋体" w:eastAsia="宋体"/>
          <w:sz w:val="24"/>
          <w:szCs w:val="24"/>
        </w:rPr>
        <w:t>2021年12月24日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92"/>
    <w:rsid w:val="0006669F"/>
    <w:rsid w:val="000B0DD3"/>
    <w:rsid w:val="000B3E8B"/>
    <w:rsid w:val="000D4BB2"/>
    <w:rsid w:val="000D4C04"/>
    <w:rsid w:val="00125D57"/>
    <w:rsid w:val="00163A8C"/>
    <w:rsid w:val="001F6C71"/>
    <w:rsid w:val="00232920"/>
    <w:rsid w:val="0024543F"/>
    <w:rsid w:val="0026787B"/>
    <w:rsid w:val="002A3AC6"/>
    <w:rsid w:val="002E7B15"/>
    <w:rsid w:val="003D51CA"/>
    <w:rsid w:val="003D7A55"/>
    <w:rsid w:val="003F1197"/>
    <w:rsid w:val="003F2C88"/>
    <w:rsid w:val="004104B0"/>
    <w:rsid w:val="00442454"/>
    <w:rsid w:val="004B570C"/>
    <w:rsid w:val="004D1797"/>
    <w:rsid w:val="00513129"/>
    <w:rsid w:val="00517E38"/>
    <w:rsid w:val="0052071B"/>
    <w:rsid w:val="005C3AC8"/>
    <w:rsid w:val="005F422B"/>
    <w:rsid w:val="0061726D"/>
    <w:rsid w:val="00623025"/>
    <w:rsid w:val="0063349F"/>
    <w:rsid w:val="0064303A"/>
    <w:rsid w:val="006677BE"/>
    <w:rsid w:val="00717B8A"/>
    <w:rsid w:val="00791DC5"/>
    <w:rsid w:val="007C05D6"/>
    <w:rsid w:val="0081075E"/>
    <w:rsid w:val="00835892"/>
    <w:rsid w:val="008A1383"/>
    <w:rsid w:val="008D51FF"/>
    <w:rsid w:val="008F0327"/>
    <w:rsid w:val="009276A6"/>
    <w:rsid w:val="00936449"/>
    <w:rsid w:val="00981AA0"/>
    <w:rsid w:val="00991556"/>
    <w:rsid w:val="009A19F6"/>
    <w:rsid w:val="009A2A8D"/>
    <w:rsid w:val="009B5B01"/>
    <w:rsid w:val="009D3784"/>
    <w:rsid w:val="00A12A6A"/>
    <w:rsid w:val="00AD0CA0"/>
    <w:rsid w:val="00AD161C"/>
    <w:rsid w:val="00B03E5A"/>
    <w:rsid w:val="00B068EB"/>
    <w:rsid w:val="00B703F2"/>
    <w:rsid w:val="00C371D8"/>
    <w:rsid w:val="00C409ED"/>
    <w:rsid w:val="00C46EB6"/>
    <w:rsid w:val="00C87DAD"/>
    <w:rsid w:val="00CE1CB8"/>
    <w:rsid w:val="00D504FB"/>
    <w:rsid w:val="00D765D1"/>
    <w:rsid w:val="00DB2C25"/>
    <w:rsid w:val="00DB7DA0"/>
    <w:rsid w:val="00DC0D00"/>
    <w:rsid w:val="00DD1A82"/>
    <w:rsid w:val="00DF030E"/>
    <w:rsid w:val="00E15C6A"/>
    <w:rsid w:val="00E50C2A"/>
    <w:rsid w:val="00E80B7D"/>
    <w:rsid w:val="00ED2F48"/>
    <w:rsid w:val="00F10937"/>
    <w:rsid w:val="00F37B12"/>
    <w:rsid w:val="00F73606"/>
    <w:rsid w:val="00FA3CE9"/>
    <w:rsid w:val="00FF412B"/>
    <w:rsid w:val="066707BC"/>
    <w:rsid w:val="084638FF"/>
    <w:rsid w:val="09D33E84"/>
    <w:rsid w:val="0E987F89"/>
    <w:rsid w:val="10AC7CCB"/>
    <w:rsid w:val="16ED1C19"/>
    <w:rsid w:val="17B057F0"/>
    <w:rsid w:val="20723B59"/>
    <w:rsid w:val="274969DA"/>
    <w:rsid w:val="2BE9088F"/>
    <w:rsid w:val="35945271"/>
    <w:rsid w:val="38043659"/>
    <w:rsid w:val="3879259C"/>
    <w:rsid w:val="3B320D64"/>
    <w:rsid w:val="3F7153F9"/>
    <w:rsid w:val="416135FA"/>
    <w:rsid w:val="41B37674"/>
    <w:rsid w:val="429E64FA"/>
    <w:rsid w:val="4664560A"/>
    <w:rsid w:val="556265B3"/>
    <w:rsid w:val="58993EE8"/>
    <w:rsid w:val="5C286679"/>
    <w:rsid w:val="5E385C43"/>
    <w:rsid w:val="5E47264D"/>
    <w:rsid w:val="6129511C"/>
    <w:rsid w:val="6ED343B2"/>
    <w:rsid w:val="6F3210C4"/>
    <w:rsid w:val="709D7362"/>
    <w:rsid w:val="725E7555"/>
    <w:rsid w:val="7F9D5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annotation subject"/>
    <w:basedOn w:val="2"/>
    <w:next w:val="2"/>
    <w:link w:val="14"/>
    <w:semiHidden/>
    <w:unhideWhenUsed/>
    <w:qFormat/>
    <w:uiPriority w:val="99"/>
    <w:rPr>
      <w:b/>
      <w:bCs/>
    </w:rPr>
  </w:style>
  <w:style w:type="table" w:styleId="9">
    <w:name w:val="Table Grid"/>
    <w:basedOn w:val="8"/>
    <w:qFormat/>
    <w:uiPriority w:val="0"/>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Char"/>
    <w:basedOn w:val="10"/>
    <w:link w:val="2"/>
    <w:semiHidden/>
    <w:qFormat/>
    <w:uiPriority w:val="99"/>
  </w:style>
  <w:style w:type="character" w:customStyle="1" w:styleId="14">
    <w:name w:val="批注主题 Char"/>
    <w:basedOn w:val="13"/>
    <w:link w:val="7"/>
    <w:semiHidden/>
    <w:qFormat/>
    <w:uiPriority w:val="99"/>
    <w:rPr>
      <w:b/>
      <w:bCs/>
    </w:rPr>
  </w:style>
  <w:style w:type="character" w:customStyle="1" w:styleId="15">
    <w:name w:val="批注框文本 Char"/>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283</Words>
  <Characters>1615</Characters>
  <Lines>13</Lines>
  <Paragraphs>3</Paragraphs>
  <TotalTime>103</TotalTime>
  <ScaleCrop>false</ScaleCrop>
  <LinksUpToDate>false</LinksUpToDate>
  <CharactersWithSpaces>1895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2018-11-09T06:53:00Z</dcterms:created>
  <dc:creator> </dc:creator>
  <cp:lastModifiedBy>Twilight lonesome</cp:lastModifiedBy>
  <cp:lastPrinted>2018-11-28T00:55:00Z</cp:lastPrinted>
  <dcterms:modified xsi:type="dcterms:W3CDTF">2022-01-04T06:23:27Z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083EA3BCB14044629C2B68B0091FD006</vt:lpwstr>
  </property>
</Properties>
</file>