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附件二</w:t>
      </w:r>
    </w:p>
    <w:p>
      <w:pPr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  <w:t>2016年教职工暑期疗休养人数分配表</w:t>
      </w:r>
      <w:bookmarkEnd w:id="0"/>
    </w:p>
    <w:tbl>
      <w:tblPr>
        <w:tblStyle w:val="4"/>
        <w:tblW w:w="8519" w:type="dxa"/>
        <w:jc w:val="center"/>
        <w:tblInd w:w="-28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660"/>
        <w:gridCol w:w="1854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按4年一次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法律学院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经济法学院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国际法学院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刑事司法学院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社会管理学院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国务学院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体育部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机关一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机关二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机关三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机关四+(心理咨询2)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机关五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612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153</w:t>
            </w:r>
          </w:p>
        </w:tc>
      </w:tr>
    </w:tbl>
    <w:p>
      <w:pPr>
        <w:rPr>
          <w:rFonts w:hint="eastAsia" w:ascii="华文仿宋" w:hAnsi="华文仿宋" w:eastAsia="华文仿宋" w:cs="华文仿宋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D054E"/>
    <w:rsid w:val="59DD05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2016-05-19T06:13:00Z</dcterms:created>
  <dc:creator>Administrator</dc:creator>
  <cp:lastModifiedBy>Administrator</cp:lastModifiedBy>
  <dcterms:modified xsi:type="dcterms:W3CDTF">2016-05-19T06:13:24Z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