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上海政法学院高水平科研成果提升计划</w:t>
      </w:r>
    </w:p>
    <w:bookmarkEnd w:id="0"/>
    <w:p>
      <w:pPr>
        <w:spacing w:line="52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pacing w:line="520" w:lineRule="exact"/>
        <w:ind w:firstLine="630" w:firstLineChars="196"/>
        <w:jc w:val="left"/>
        <w:rPr>
          <w:rFonts w:hint="eastAsia" w:ascii="仿宋" w:hAnsi="仿宋" w:eastAsia="仿宋" w:cs="黑体"/>
          <w:b/>
          <w:bCs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sz w:val="32"/>
          <w:szCs w:val="32"/>
        </w:rPr>
        <w:t>一、基本目的</w:t>
      </w:r>
    </w:p>
    <w:p>
      <w:pPr>
        <w:spacing w:line="520" w:lineRule="exact"/>
        <w:ind w:firstLine="5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为响应国家一流学科建设号召，提升我校教师科研能力与科研水平，促进学校学科发展，积极迎接教育部高校学科评估，学校拟出资推出高水平科研成果提升计划。</w:t>
      </w:r>
    </w:p>
    <w:p>
      <w:pPr>
        <w:spacing w:line="520" w:lineRule="exact"/>
        <w:ind w:firstLine="642"/>
        <w:jc w:val="left"/>
        <w:rPr>
          <w:rFonts w:hint="eastAsia" w:ascii="仿宋" w:hAnsi="仿宋" w:eastAsia="仿宋" w:cs="黑体"/>
          <w:b/>
          <w:bCs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sz w:val="32"/>
          <w:szCs w:val="32"/>
        </w:rPr>
        <w:t>二、配套支持对象</w:t>
      </w:r>
    </w:p>
    <w:p>
      <w:pPr>
        <w:spacing w:line="520" w:lineRule="exact"/>
        <w:ind w:firstLine="642"/>
        <w:jc w:val="left"/>
        <w:rPr>
          <w:rFonts w:hint="eastAsia" w:ascii="楷体" w:hAnsi="楷体" w:eastAsia="楷体" w:cs="仿宋"/>
          <w:b/>
          <w:bCs/>
          <w:sz w:val="30"/>
          <w:szCs w:val="30"/>
        </w:rPr>
      </w:pPr>
      <w:r>
        <w:rPr>
          <w:rFonts w:hint="eastAsia" w:ascii="楷体" w:hAnsi="楷体" w:eastAsia="楷体" w:cs="仿宋"/>
          <w:b/>
          <w:bCs/>
          <w:sz w:val="30"/>
          <w:szCs w:val="30"/>
        </w:rPr>
        <w:t>（一）国家级项目</w:t>
      </w:r>
    </w:p>
    <w:p>
      <w:pPr>
        <w:spacing w:line="520" w:lineRule="exact"/>
        <w:ind w:firstLine="642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国家社科基金重大项目、国家社科基金重点项目、国家社科基金一般项目（含青年项目）、中华外译项目等在内的国家级项目。</w:t>
      </w:r>
    </w:p>
    <w:p>
      <w:pPr>
        <w:numPr>
          <w:ilvl w:val="0"/>
          <w:numId w:val="1"/>
        </w:numPr>
        <w:spacing w:line="520" w:lineRule="exact"/>
        <w:ind w:firstLine="642"/>
        <w:jc w:val="left"/>
        <w:rPr>
          <w:rFonts w:hint="eastAsia" w:ascii="楷体" w:hAnsi="楷体" w:eastAsia="楷体" w:cs="仿宋"/>
          <w:b/>
          <w:bCs/>
          <w:sz w:val="30"/>
          <w:szCs w:val="30"/>
        </w:rPr>
      </w:pPr>
      <w:r>
        <w:rPr>
          <w:rFonts w:hint="eastAsia" w:ascii="楷体" w:hAnsi="楷体" w:eastAsia="楷体" w:cs="仿宋"/>
          <w:b/>
          <w:bCs/>
          <w:sz w:val="30"/>
          <w:szCs w:val="30"/>
        </w:rPr>
        <w:t>高水平科研论文</w:t>
      </w:r>
    </w:p>
    <w:p>
      <w:pPr>
        <w:spacing w:line="520" w:lineRule="exact"/>
        <w:ind w:firstLine="602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权威核心、重要核心、法学类十五大核心、非法学学科CSSCI来源期刊排名前30%的刊物。</w:t>
      </w:r>
    </w:p>
    <w:p>
      <w:pPr>
        <w:numPr>
          <w:ilvl w:val="0"/>
          <w:numId w:val="1"/>
        </w:numPr>
        <w:spacing w:line="520" w:lineRule="exact"/>
        <w:ind w:firstLine="642"/>
        <w:jc w:val="left"/>
        <w:rPr>
          <w:rFonts w:hint="eastAsia" w:ascii="楷体" w:hAnsi="楷体" w:eastAsia="楷体" w:cs="仿宋"/>
          <w:b/>
          <w:bCs/>
          <w:sz w:val="30"/>
          <w:szCs w:val="30"/>
        </w:rPr>
      </w:pPr>
      <w:r>
        <w:rPr>
          <w:rFonts w:hint="eastAsia" w:ascii="楷体" w:hAnsi="楷体" w:eastAsia="楷体" w:cs="仿宋"/>
          <w:b/>
          <w:bCs/>
          <w:sz w:val="30"/>
          <w:szCs w:val="30"/>
        </w:rPr>
        <w:t>高水平决策咨询报告</w:t>
      </w:r>
    </w:p>
    <w:p>
      <w:pPr>
        <w:spacing w:line="520" w:lineRule="exact"/>
        <w:ind w:firstLine="6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决策咨询报告被国家级领导人批示、决策咨询报告被省部级领导人批示、决策咨询报告被中办单篇录用。</w:t>
      </w:r>
    </w:p>
    <w:p>
      <w:pPr>
        <w:numPr>
          <w:ilvl w:val="0"/>
          <w:numId w:val="1"/>
        </w:numPr>
        <w:spacing w:line="520" w:lineRule="exact"/>
        <w:ind w:firstLine="642"/>
        <w:jc w:val="left"/>
        <w:rPr>
          <w:rFonts w:hint="eastAsia" w:ascii="楷体" w:hAnsi="楷体" w:eastAsia="楷体" w:cs="仿宋"/>
          <w:b/>
          <w:bCs/>
          <w:sz w:val="30"/>
          <w:szCs w:val="30"/>
        </w:rPr>
      </w:pPr>
      <w:r>
        <w:rPr>
          <w:rFonts w:hint="eastAsia" w:ascii="楷体" w:hAnsi="楷体" w:eastAsia="楷体" w:cs="仿宋"/>
          <w:b/>
          <w:bCs/>
          <w:sz w:val="30"/>
          <w:szCs w:val="30"/>
        </w:rPr>
        <w:t>高级别科研奖励</w:t>
      </w:r>
    </w:p>
    <w:p>
      <w:pPr>
        <w:spacing w:line="520" w:lineRule="exact"/>
        <w:ind w:firstLine="6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国家级奖励、省部级奖励</w:t>
      </w:r>
    </w:p>
    <w:p>
      <w:pPr>
        <w:numPr>
          <w:ilvl w:val="0"/>
          <w:numId w:val="2"/>
        </w:numPr>
        <w:spacing w:line="520" w:lineRule="exact"/>
        <w:ind w:firstLine="642"/>
        <w:jc w:val="left"/>
        <w:rPr>
          <w:rFonts w:hint="eastAsia" w:ascii="仿宋" w:hAnsi="仿宋" w:eastAsia="仿宋" w:cs="黑体"/>
          <w:b/>
          <w:bCs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sz w:val="32"/>
          <w:szCs w:val="32"/>
        </w:rPr>
        <w:t>具体操作办法</w:t>
      </w:r>
    </w:p>
    <w:p>
      <w:pPr>
        <w:spacing w:line="520" w:lineRule="exact"/>
        <w:ind w:firstLine="744" w:firstLineChars="247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</w:t>
      </w:r>
      <w:r>
        <w:rPr>
          <w:rFonts w:hint="eastAsia" w:ascii="楷体" w:hAnsi="楷体" w:eastAsia="楷体" w:cs="仿宋"/>
          <w:b/>
          <w:bCs/>
          <w:sz w:val="30"/>
          <w:szCs w:val="30"/>
        </w:rPr>
        <w:t>管理部门</w:t>
      </w:r>
    </w:p>
    <w:p>
      <w:pPr>
        <w:spacing w:line="520" w:lineRule="exact"/>
        <w:ind w:firstLine="6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本期科研创新能力提升计划由科研处、发规处负责发布和管理。</w:t>
      </w:r>
    </w:p>
    <w:p>
      <w:pPr>
        <w:spacing w:line="520" w:lineRule="exact"/>
        <w:ind w:firstLine="600"/>
        <w:jc w:val="left"/>
        <w:rPr>
          <w:rFonts w:hint="eastAsia" w:ascii="楷体" w:hAnsi="楷体" w:eastAsia="楷体" w:cs="仿宋"/>
          <w:sz w:val="30"/>
          <w:szCs w:val="30"/>
        </w:rPr>
      </w:pPr>
      <w:r>
        <w:rPr>
          <w:rFonts w:hint="eastAsia" w:ascii="楷体" w:hAnsi="楷体" w:eastAsia="楷体" w:cs="仿宋"/>
          <w:b/>
          <w:bCs/>
          <w:sz w:val="30"/>
          <w:szCs w:val="30"/>
        </w:rPr>
        <w:t>（二）配套支持方式</w:t>
      </w:r>
    </w:p>
    <w:p>
      <w:pPr>
        <w:spacing w:line="520" w:lineRule="exact"/>
        <w:ind w:firstLine="5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教师根据高水平科研成果的配套范围及标准，将成果提交至科研处，经过核查科研成果属实的，科研处即根据配套标准对科研成果予以配套。具体实施参照《上海政法学院优秀科研成果奖励办法》。该配套不影响年度科研成果奖励。</w:t>
      </w:r>
    </w:p>
    <w:p>
      <w:pPr>
        <w:spacing w:line="520" w:lineRule="exact"/>
        <w:ind w:firstLine="602"/>
        <w:jc w:val="left"/>
        <w:rPr>
          <w:rFonts w:hint="eastAsia" w:ascii="楷体" w:hAnsi="楷体" w:eastAsia="楷体" w:cs="仿宋"/>
          <w:b/>
          <w:bCs/>
          <w:sz w:val="30"/>
          <w:szCs w:val="30"/>
        </w:rPr>
      </w:pPr>
      <w:r>
        <w:rPr>
          <w:rFonts w:hint="eastAsia" w:ascii="楷体" w:hAnsi="楷体" w:eastAsia="楷体" w:cs="仿宋"/>
          <w:b/>
          <w:bCs/>
          <w:sz w:val="30"/>
          <w:szCs w:val="30"/>
        </w:rPr>
        <w:t>（三）配套支持额度</w:t>
      </w:r>
    </w:p>
    <w:p>
      <w:pPr>
        <w:spacing w:line="360" w:lineRule="auto"/>
        <w:ind w:firstLine="602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（单位：万元）</w:t>
      </w:r>
    </w:p>
    <w:tbl>
      <w:tblPr>
        <w:tblStyle w:val="4"/>
        <w:tblW w:w="8700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765"/>
        <w:gridCol w:w="1034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kern w:val="0"/>
                <w:sz w:val="28"/>
                <w:szCs w:val="28"/>
              </w:rPr>
              <w:t>类别</w:t>
            </w:r>
          </w:p>
        </w:tc>
        <w:tc>
          <w:tcPr>
            <w:tcW w:w="4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kern w:val="0"/>
                <w:sz w:val="28"/>
                <w:szCs w:val="28"/>
              </w:rPr>
              <w:t>指标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kern w:val="0"/>
                <w:sz w:val="28"/>
                <w:szCs w:val="28"/>
              </w:rPr>
              <w:t>配套标准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论文</w:t>
            </w:r>
          </w:p>
        </w:tc>
        <w:tc>
          <w:tcPr>
            <w:tcW w:w="4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权威核心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8/篇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重要核心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5/篇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15大法学核心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2/篇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非法学类CSSCI来源期刊前30%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2/篇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</w:t>
            </w:r>
          </w:p>
        </w:tc>
        <w:tc>
          <w:tcPr>
            <w:tcW w:w="4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国家哲社重大项目（含教育部重大攻关项目）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国家哲社重点项目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国家哲社一般项目（含青年项目、后期资助、中华外译）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决策咨询报告</w:t>
            </w:r>
          </w:p>
        </w:tc>
        <w:tc>
          <w:tcPr>
            <w:tcW w:w="4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国家级领导人批示（中央政治局委员）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5/篇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省部级领导人批示（省部级正副职领导）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2/篇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中办单篇录用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0.5/篇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auto"/>
              <w:ind w:left="-13" w:leftChars="-6" w:firstLine="720" w:firstLineChars="3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奖励</w:t>
            </w:r>
          </w:p>
        </w:tc>
        <w:tc>
          <w:tcPr>
            <w:tcW w:w="3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教育部高等学校科研优秀成果奖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上海哲学社会科学优秀成果奖</w:t>
            </w:r>
          </w:p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邓小平理论和宣传优秀成果奖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2/项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1/项</w:t>
            </w:r>
          </w:p>
        </w:tc>
      </w:tr>
    </w:tbl>
    <w:p>
      <w:pPr>
        <w:spacing w:line="520" w:lineRule="exact"/>
        <w:ind w:firstLine="602"/>
        <w:jc w:val="left"/>
        <w:rPr>
          <w:rFonts w:hint="eastAsia" w:ascii="楷体" w:hAnsi="楷体" w:eastAsia="楷体" w:cs="仿宋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仿宋"/>
          <w:b/>
          <w:bCs/>
          <w:sz w:val="30"/>
          <w:szCs w:val="30"/>
          <w:lang w:val="en-US" w:eastAsia="zh-CN"/>
        </w:rPr>
        <w:t>（四）试行时间</w:t>
      </w:r>
    </w:p>
    <w:p>
      <w:pPr>
        <w:pStyle w:val="5"/>
        <w:numPr>
          <w:ilvl w:val="0"/>
          <w:numId w:val="0"/>
        </w:numPr>
        <w:spacing w:line="520" w:lineRule="exact"/>
        <w:ind w:right="1120" w:rightChars="0" w:firstLine="56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本计划试行时间暂定2年。</w:t>
      </w:r>
    </w:p>
    <w:p>
      <w:pPr>
        <w:pStyle w:val="5"/>
        <w:spacing w:line="520" w:lineRule="exact"/>
        <w:ind w:right="1120" w:firstLine="0" w:firstLineChars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科研处  </w:t>
      </w:r>
    </w:p>
    <w:p>
      <w:pPr>
        <w:pStyle w:val="5"/>
        <w:spacing w:line="520" w:lineRule="exact"/>
        <w:ind w:left="420" w:leftChars="200" w:right="560" w:firstLine="5320" w:firstLineChars="19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发展规划处</w:t>
      </w:r>
    </w:p>
    <w:p>
      <w:pPr>
        <w:pStyle w:val="5"/>
        <w:spacing w:line="520" w:lineRule="exact"/>
        <w:ind w:left="420" w:leftChars="200" w:right="560" w:firstLine="0" w:firstLineChars="0"/>
        <w:jc w:val="right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2017年3月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1F5D3"/>
    <w:multiLevelType w:val="singleLevel"/>
    <w:tmpl w:val="58C1F5D3"/>
    <w:lvl w:ilvl="0" w:tentative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58C1F82F"/>
    <w:multiLevelType w:val="singleLevel"/>
    <w:tmpl w:val="58C1F82F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E6562"/>
    <w:rsid w:val="605E65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2017-03-30T05:42:00Z</dcterms:created>
  <dc:creator>丁明强</dc:creator>
  <cp:lastModifiedBy>丁明强</cp:lastModifiedBy>
  <dcterms:modified xsi:type="dcterms:W3CDTF">2017-03-30T05:42:38Z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